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8735A" w14:textId="75F4962F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</w:t>
      </w:r>
      <w:r w:rsidR="003C0950">
        <w:rPr>
          <w:sz w:val="32"/>
          <w:szCs w:val="32"/>
        </w:rPr>
        <w:t>10085</w:t>
      </w:r>
    </w:p>
    <w:p w14:paraId="7F6E1BE2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3E30A549" w14:textId="77777777" w:rsidR="00E90E49" w:rsidRPr="00CE0424" w:rsidRDefault="00E90E49" w:rsidP="00357380">
      <w:pPr>
        <w:pStyle w:val="3GPPHeader"/>
      </w:pPr>
    </w:p>
    <w:p w14:paraId="6B41C8D8" w14:textId="11D75CB1" w:rsidR="00E90E49" w:rsidRPr="003C0950" w:rsidRDefault="00E90E49" w:rsidP="00311702">
      <w:pPr>
        <w:pStyle w:val="3GPPHeader"/>
        <w:rPr>
          <w:sz w:val="22"/>
          <w:szCs w:val="22"/>
          <w:lang w:val="en-US"/>
        </w:rPr>
      </w:pPr>
      <w:r w:rsidRPr="003C0950">
        <w:rPr>
          <w:sz w:val="22"/>
          <w:szCs w:val="22"/>
          <w:lang w:val="en-US"/>
        </w:rPr>
        <w:t>Agenda Item:</w:t>
      </w:r>
      <w:r w:rsidRPr="003C0950">
        <w:rPr>
          <w:sz w:val="22"/>
          <w:szCs w:val="22"/>
          <w:lang w:val="en-US"/>
        </w:rPr>
        <w:tab/>
      </w:r>
      <w:r w:rsidR="00146663" w:rsidRPr="003C0950">
        <w:rPr>
          <w:sz w:val="22"/>
          <w:szCs w:val="22"/>
          <w:lang w:val="en-US"/>
        </w:rPr>
        <w:t>10.3.1.4.3</w:t>
      </w:r>
    </w:p>
    <w:p w14:paraId="55C2F2D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2EA0894" w14:textId="77777777" w:rsidR="00E90E49" w:rsidRPr="00146663" w:rsidRDefault="003D3C45" w:rsidP="00311702">
      <w:pPr>
        <w:pStyle w:val="3GPPHeader"/>
        <w:rPr>
          <w:sz w:val="22"/>
          <w:szCs w:val="22"/>
        </w:rPr>
      </w:pPr>
      <w:r w:rsidRPr="00146663">
        <w:rPr>
          <w:sz w:val="22"/>
          <w:szCs w:val="22"/>
        </w:rPr>
        <w:t>Title:</w:t>
      </w:r>
      <w:r w:rsidR="00E90E49" w:rsidRPr="00146663">
        <w:rPr>
          <w:sz w:val="22"/>
          <w:szCs w:val="22"/>
        </w:rPr>
        <w:tab/>
      </w:r>
      <w:r w:rsidR="00CA0493" w:rsidRPr="00744C6C">
        <w:rPr>
          <w:sz w:val="22"/>
          <w:szCs w:val="22"/>
        </w:rPr>
        <w:t>UL carrier selection in PDCCH order</w:t>
      </w:r>
    </w:p>
    <w:p w14:paraId="5757E8A3" w14:textId="77777777" w:rsidR="00E90E49" w:rsidRDefault="00E90E49" w:rsidP="00D546FF">
      <w:pPr>
        <w:pStyle w:val="3GPPHeader"/>
        <w:rPr>
          <w:sz w:val="22"/>
          <w:szCs w:val="22"/>
        </w:rPr>
      </w:pPr>
      <w:r w:rsidRPr="00146663">
        <w:rPr>
          <w:sz w:val="22"/>
          <w:szCs w:val="22"/>
        </w:rPr>
        <w:t>Document for:</w:t>
      </w:r>
      <w:r w:rsidRPr="00146663">
        <w:rPr>
          <w:sz w:val="22"/>
          <w:szCs w:val="22"/>
        </w:rPr>
        <w:tab/>
      </w:r>
      <w:r w:rsidRPr="00744C6C">
        <w:rPr>
          <w:sz w:val="22"/>
          <w:szCs w:val="22"/>
        </w:rPr>
        <w:t>Discussion, Decision</w:t>
      </w:r>
    </w:p>
    <w:p w14:paraId="6F149004" w14:textId="40DBFAC0" w:rsidR="00C24345" w:rsidRDefault="00E90E49" w:rsidP="00A2052C">
      <w:pPr>
        <w:pStyle w:val="Heading1"/>
      </w:pPr>
      <w:r w:rsidRPr="00CE0424">
        <w:t>Introduction</w:t>
      </w:r>
    </w:p>
    <w:p w14:paraId="522F5DCF" w14:textId="2CB59389" w:rsidR="00A45532" w:rsidRPr="00A45532" w:rsidRDefault="00A45532" w:rsidP="00A45532">
      <w:r>
        <w:t>At the previous RAN2#102 meeting, the question of whether a PDCCH order to initiate CFRA should leave the UE with the freedom to select which UL carrier to use. We further discuss this topic in this contribution.</w:t>
      </w:r>
    </w:p>
    <w:p w14:paraId="46A6C1C8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73F8F62" w14:textId="29E019AE" w:rsidR="004F0225" w:rsidRDefault="00A00AA0" w:rsidP="00CE0424">
      <w:pPr>
        <w:pStyle w:val="BodyText"/>
      </w:pPr>
      <w:r>
        <w:t xml:space="preserve">In the previous RAN2#102 meeting two contributions, </w:t>
      </w:r>
      <w:r>
        <w:fldChar w:fldCharType="begin"/>
      </w:r>
      <w:r>
        <w:instrText xml:space="preserve"> REF _Ref516577391 \r \h </w:instrText>
      </w:r>
      <w:r>
        <w:fldChar w:fldCharType="separate"/>
      </w:r>
      <w:r>
        <w:t>[1]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_Ref516577403 \r \h </w:instrText>
      </w:r>
      <w:r>
        <w:fldChar w:fldCharType="separate"/>
      </w:r>
      <w:r>
        <w:t>[2]</w:t>
      </w:r>
      <w:r>
        <w:fldChar w:fldCharType="end"/>
      </w:r>
      <w:r>
        <w:t xml:space="preserve">, discussed if the PDCCH order should indicate UL carrier. </w:t>
      </w:r>
      <w:r w:rsidR="00A45532">
        <w:t>In the previous RAN1#93 it was agreed</w:t>
      </w:r>
      <w:r w:rsidR="001A4320">
        <w:t xml:space="preserve">, see </w:t>
      </w:r>
      <w:r w:rsidR="001A4320">
        <w:fldChar w:fldCharType="begin"/>
      </w:r>
      <w:r w:rsidR="001A4320">
        <w:instrText xml:space="preserve"> REF _Ref517200182 \r \h </w:instrText>
      </w:r>
      <w:r w:rsidR="001A4320">
        <w:fldChar w:fldCharType="separate"/>
      </w:r>
      <w:r w:rsidR="001A4320">
        <w:t>[3]</w:t>
      </w:r>
      <w:r w:rsidR="001A4320">
        <w:fldChar w:fldCharType="end"/>
      </w:r>
      <w:r w:rsidR="001A4320">
        <w:t>,</w:t>
      </w:r>
      <w:r w:rsidR="00A45532">
        <w:t xml:space="preserve"> that the PDCCH order to initiate RA should contain a </w:t>
      </w:r>
      <w:proofErr w:type="gramStart"/>
      <w:r w:rsidR="00A45532">
        <w:t>1 bit</w:t>
      </w:r>
      <w:proofErr w:type="gramEnd"/>
      <w:r w:rsidR="00A45532">
        <w:t xml:space="preserve"> SUL indicator to distinguish if the preamble should be transmitted on the SUL or NUL. </w:t>
      </w:r>
      <w:r w:rsidR="001A4320">
        <w:t>Th</w:t>
      </w:r>
      <w:r w:rsidR="007F30B5">
        <w:t xml:space="preserve">e same </w:t>
      </w:r>
      <w:r w:rsidR="00485BC2">
        <w:t xml:space="preserve">logic is used when </w:t>
      </w:r>
      <w:r w:rsidR="00E66F28">
        <w:t xml:space="preserve">CFRA resources are configured using RRC in the </w:t>
      </w:r>
      <w:r w:rsidR="00334C25">
        <w:t>RACH-</w:t>
      </w:r>
      <w:proofErr w:type="spellStart"/>
      <w:r w:rsidR="00334C25">
        <w:t>Config</w:t>
      </w:r>
      <w:r w:rsidR="00976622">
        <w:t>f</w:t>
      </w:r>
      <w:r w:rsidR="00334C25">
        <w:t>Dedicated</w:t>
      </w:r>
      <w:proofErr w:type="spellEnd"/>
      <w:r w:rsidR="00334C25">
        <w:t xml:space="preserve"> IE in </w:t>
      </w:r>
      <w:proofErr w:type="spellStart"/>
      <w:r w:rsidR="00AC372A">
        <w:t>ReconfigurationWithSync</w:t>
      </w:r>
      <w:proofErr w:type="spellEnd"/>
      <w:r w:rsidR="00AC372A">
        <w:t xml:space="preserve"> for HO.</w:t>
      </w:r>
      <w:r w:rsidR="00334C25">
        <w:t xml:space="preserve"> </w:t>
      </w:r>
    </w:p>
    <w:p w14:paraId="08EE767A" w14:textId="67C20BD0" w:rsidR="00A35FBC" w:rsidRPr="00CE0424" w:rsidRDefault="006A04A9" w:rsidP="00A35FBC">
      <w:pPr>
        <w:pStyle w:val="Observation"/>
      </w:pPr>
      <w:bookmarkStart w:id="1" w:name="_Toc347822666"/>
      <w:bookmarkStart w:id="2" w:name="_Toc347823812"/>
      <w:bookmarkStart w:id="3" w:name="_Toc347823993"/>
      <w:bookmarkStart w:id="4" w:name="_Toc347824244"/>
      <w:bookmarkStart w:id="5" w:name="_Toc516819248"/>
      <w:bookmarkStart w:id="6" w:name="_Toc517288629"/>
      <w:bookmarkStart w:id="7" w:name="_Toc517360969"/>
      <w:r>
        <w:t>B</w:t>
      </w:r>
      <w:r w:rsidR="00BE3D19">
        <w:t>oth RRC configuration</w:t>
      </w:r>
      <w:r>
        <w:t xml:space="preserve"> of CFRA reso</w:t>
      </w:r>
      <w:r w:rsidR="006B6A06">
        <w:t>u</w:t>
      </w:r>
      <w:r>
        <w:t>rces</w:t>
      </w:r>
      <w:r w:rsidR="00BE3D19">
        <w:t xml:space="preserve"> and PDCCH</w:t>
      </w:r>
      <w:r>
        <w:t xml:space="preserve"> order to initiate </w:t>
      </w:r>
      <w:r w:rsidR="00AF2D88">
        <w:t>CFRA indicate if the SUL or NUL is used</w:t>
      </w:r>
      <w:bookmarkEnd w:id="1"/>
      <w:r w:rsidR="00A35FBC">
        <w:t>.</w:t>
      </w:r>
      <w:bookmarkEnd w:id="2"/>
      <w:bookmarkEnd w:id="3"/>
      <w:bookmarkEnd w:id="4"/>
      <w:bookmarkEnd w:id="5"/>
      <w:bookmarkEnd w:id="6"/>
      <w:bookmarkEnd w:id="7"/>
    </w:p>
    <w:p w14:paraId="4034D52C" w14:textId="7CA88B50" w:rsidR="00A45532" w:rsidRDefault="00A45532" w:rsidP="00CE0424">
      <w:pPr>
        <w:pStyle w:val="BodyText"/>
      </w:pPr>
      <w:r>
        <w:t xml:space="preserve">We </w:t>
      </w:r>
      <w:r w:rsidR="00BB5331">
        <w:t>believe that when</w:t>
      </w:r>
      <w:r>
        <w:t xml:space="preserve"> the </w:t>
      </w:r>
      <w:proofErr w:type="spellStart"/>
      <w:r>
        <w:t>gNB</w:t>
      </w:r>
      <w:proofErr w:type="spellEnd"/>
      <w:r>
        <w:t xml:space="preserve"> sends a PDCCH order to a UE to initiate CFRA it </w:t>
      </w:r>
      <w:r w:rsidR="00BB5331">
        <w:t>will have sufficient knowledge of the channel conditions to decide which UL carrier should be used.</w:t>
      </w:r>
      <w:r w:rsidR="00A00AA0">
        <w:t xml:space="preserve"> In any event, if the </w:t>
      </w:r>
      <w:proofErr w:type="spellStart"/>
      <w:r w:rsidR="00A00AA0">
        <w:t>gNB</w:t>
      </w:r>
      <w:proofErr w:type="spellEnd"/>
      <w:r w:rsidR="00A00AA0">
        <w:t xml:space="preserve"> has outdated information or is unsure if the channel conditions on NUL is sufficient, it can always </w:t>
      </w:r>
      <w:r w:rsidR="00F73BCE">
        <w:t>choose</w:t>
      </w:r>
      <w:r w:rsidR="00A00AA0">
        <w:t xml:space="preserve"> the SUL carrier since it can be assumed to have better channel conditions. </w:t>
      </w:r>
      <w:r w:rsidR="00BB5331">
        <w:t xml:space="preserve"> In addition to this, the </w:t>
      </w:r>
      <w:proofErr w:type="spellStart"/>
      <w:r w:rsidR="00BB5331">
        <w:t>gNB</w:t>
      </w:r>
      <w:proofErr w:type="spellEnd"/>
      <w:r w:rsidR="00BB5331">
        <w:t xml:space="preserve"> has the knowledge to determine how to distribute load on the carriers.</w:t>
      </w:r>
      <w:r w:rsidR="00A00AA0">
        <w:t xml:space="preserve"> </w:t>
      </w:r>
    </w:p>
    <w:p w14:paraId="0664F306" w14:textId="5758823C" w:rsidR="0027144F" w:rsidRPr="00CE0424" w:rsidRDefault="00A00AA0" w:rsidP="00CE0424">
      <w:pPr>
        <w:pStyle w:val="BodyText"/>
      </w:pPr>
      <w:r>
        <w:t>To conclude, we propose:</w:t>
      </w:r>
    </w:p>
    <w:p w14:paraId="69CBDDBB" w14:textId="68F572E6" w:rsidR="00287838" w:rsidRDefault="00AF2D88" w:rsidP="00A04F49">
      <w:pPr>
        <w:pStyle w:val="Proposal"/>
      </w:pPr>
      <w:bookmarkStart w:id="8" w:name="_Toc347823621"/>
      <w:bookmarkStart w:id="9" w:name="_Toc347824073"/>
      <w:bookmarkStart w:id="10" w:name="_Toc347824246"/>
      <w:bookmarkStart w:id="11" w:name="_Toc516577198"/>
      <w:bookmarkStart w:id="12" w:name="_Toc517288595"/>
      <w:bookmarkStart w:id="13" w:name="_Toc517288617"/>
      <w:bookmarkStart w:id="14" w:name="_Toc517288631"/>
      <w:bookmarkStart w:id="15" w:name="_Toc517360971"/>
      <w:r>
        <w:t xml:space="preserve">The </w:t>
      </w:r>
      <w:r w:rsidR="00264377">
        <w:t xml:space="preserve">PDCCH </w:t>
      </w:r>
      <w:r w:rsidR="006918A8">
        <w:t>order</w:t>
      </w:r>
      <w:r w:rsidR="009645BE">
        <w:t xml:space="preserve"> for </w:t>
      </w:r>
      <w:r w:rsidR="003163DF">
        <w:t>Random Access</w:t>
      </w:r>
      <w:r w:rsidR="006918A8">
        <w:t xml:space="preserve"> </w:t>
      </w:r>
      <w:r w:rsidR="009645BE">
        <w:t xml:space="preserve">agreed by RAN1 </w:t>
      </w:r>
      <w:r w:rsidR="00413F44">
        <w:t xml:space="preserve">is </w:t>
      </w:r>
      <w:r w:rsidR="204868AC">
        <w:t>sufficient and</w:t>
      </w:r>
      <w:r w:rsidR="00413F44">
        <w:t xml:space="preserve"> requires no updates to 38.321</w:t>
      </w:r>
      <w:r w:rsidR="00CC2011" w:rsidRPr="00A04F49"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B00F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6628BD5" w14:textId="77777777" w:rsidR="00C6397B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A049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D9B37C8" w14:textId="77777777" w:rsidR="00C6397B" w:rsidRPr="00C6397B" w:rsidRDefault="00C6397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 w:rsidRPr="00C6397B">
        <w:rPr>
          <w:rFonts w:asciiTheme="minorHAnsi" w:eastAsiaTheme="minorEastAsia" w:hAnsiTheme="minorHAnsi" w:cstheme="minorBidi"/>
          <w:b w:val="0"/>
          <w:sz w:val="22"/>
        </w:rPr>
        <w:tab/>
      </w:r>
      <w:r>
        <w:t>Both RRC configuration of CFRA resources and PDCCH order to initiate CFRA indicate if the SUL or NUL is used.</w:t>
      </w:r>
    </w:p>
    <w:p w14:paraId="2C123021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1037A7" w14:textId="77777777" w:rsidR="00C6397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A049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433F68F" w14:textId="77777777" w:rsidR="00C6397B" w:rsidRPr="00C6397B" w:rsidRDefault="00C6397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bookmarkStart w:id="16" w:name="_GoBack"/>
      <w:bookmarkEnd w:id="16"/>
      <w:r>
        <w:t>Proposal 1</w:t>
      </w:r>
      <w:r w:rsidRPr="00C6397B">
        <w:rPr>
          <w:rFonts w:asciiTheme="minorHAnsi" w:eastAsiaTheme="minorEastAsia" w:hAnsiTheme="minorHAnsi" w:cstheme="minorBidi"/>
          <w:b w:val="0"/>
          <w:sz w:val="22"/>
        </w:rPr>
        <w:tab/>
      </w:r>
      <w:r>
        <w:t>The PDCCH order for Random Access agreed by RAN1 is sufficient and requires no updates to 38.321.</w:t>
      </w:r>
    </w:p>
    <w:p w14:paraId="70786FA4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CC1A3D5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lastRenderedPageBreak/>
        <w:t>References</w:t>
      </w:r>
    </w:p>
    <w:p w14:paraId="677942D8" w14:textId="616EE6F4" w:rsidR="00A00AA0" w:rsidRPr="00A00AA0" w:rsidRDefault="00A00AA0" w:rsidP="00311702">
      <w:pPr>
        <w:pStyle w:val="Reference"/>
      </w:pPr>
      <w:bookmarkStart w:id="18" w:name="_Ref516577391"/>
      <w:bookmarkStart w:id="19" w:name="_Ref174151459"/>
      <w:bookmarkStart w:id="20" w:name="_Ref189809556"/>
      <w:r w:rsidRPr="00A00AA0">
        <w:t>R2-1806999, CFRA resources allocation in the cell with UL and SUL, CATT, 3GPP TSG-RAN WG2</w:t>
      </w:r>
      <w:r w:rsidRPr="00A00AA0">
        <w:rPr>
          <w:rFonts w:hint="eastAsia"/>
        </w:rPr>
        <w:t>#10</w:t>
      </w:r>
      <w:r w:rsidRPr="00A00AA0">
        <w:t xml:space="preserve">2, 21th – </w:t>
      </w:r>
      <w:r w:rsidRPr="00A00AA0">
        <w:rPr>
          <w:rFonts w:hint="eastAsia"/>
        </w:rPr>
        <w:t>2</w:t>
      </w:r>
      <w:r w:rsidRPr="00A00AA0">
        <w:t>5th May 2018</w:t>
      </w:r>
      <w:bookmarkEnd w:id="18"/>
    </w:p>
    <w:p w14:paraId="769F0E48" w14:textId="63ECA75B" w:rsidR="00A00AA0" w:rsidRPr="00CE0424" w:rsidRDefault="00A00AA0" w:rsidP="00311702">
      <w:pPr>
        <w:pStyle w:val="Reference"/>
      </w:pPr>
      <w:bookmarkStart w:id="21" w:name="_Ref516577403"/>
      <w:r w:rsidRPr="00A00AA0">
        <w:t>R2-1</w:t>
      </w:r>
      <w:r w:rsidRPr="00A00AA0">
        <w:rPr>
          <w:rFonts w:hint="eastAsia"/>
        </w:rPr>
        <w:t>808554</w:t>
      </w:r>
      <w:r w:rsidRPr="00A00AA0">
        <w:t xml:space="preserve">, </w:t>
      </w:r>
      <w:r w:rsidRPr="00A00AA0">
        <w:rPr>
          <w:rFonts w:hint="eastAsia"/>
        </w:rPr>
        <w:t xml:space="preserve">PDCCH order on </w:t>
      </w:r>
      <w:r w:rsidRPr="00A00AA0">
        <w:t xml:space="preserve">both </w:t>
      </w:r>
      <w:r w:rsidRPr="00A00AA0">
        <w:rPr>
          <w:rFonts w:hint="eastAsia"/>
        </w:rPr>
        <w:t>SUL and NUL</w:t>
      </w:r>
      <w:r w:rsidRPr="00A00AA0">
        <w:t>, LG Electronics Inc., 3GPP TSG-RAN WG2 Meeting #102, 21th – 25th May 2018</w:t>
      </w:r>
      <w:bookmarkEnd w:id="21"/>
    </w:p>
    <w:p w14:paraId="2D0F705C" w14:textId="5DCAD4A8" w:rsidR="005F3025" w:rsidRPr="00CE0424" w:rsidRDefault="00FD46A7" w:rsidP="00311702">
      <w:pPr>
        <w:pStyle w:val="Reference"/>
      </w:pPr>
      <w:bookmarkStart w:id="22" w:name="_Ref517200182"/>
      <w:r w:rsidRPr="009A1798">
        <w:t>RAN1 Chairman’s Notes</w:t>
      </w:r>
      <w:r w:rsidR="005F3025" w:rsidRPr="00CE0424">
        <w:t xml:space="preserve">, </w:t>
      </w:r>
      <w:r w:rsidR="00F43085" w:rsidRPr="009A1798">
        <w:t>TSG RAN WG1 Meeting #93</w:t>
      </w:r>
      <w:bookmarkEnd w:id="22"/>
      <w:r w:rsidR="009A1798" w:rsidRPr="009A1798">
        <w:t>, May 21st – 25th, 2018</w:t>
      </w:r>
    </w:p>
    <w:bookmarkEnd w:id="19"/>
    <w:bookmarkEnd w:id="20"/>
    <w:p w14:paraId="4456379D" w14:textId="77777777" w:rsidR="003A7EF3" w:rsidRPr="00CE0424" w:rsidRDefault="003A7EF3" w:rsidP="00CE0424">
      <w:pPr>
        <w:pStyle w:val="BodyText"/>
      </w:pPr>
    </w:p>
    <w:sectPr w:rsidR="003A7EF3" w:rsidRPr="00CE0424" w:rsidSect="0014666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29A43" w14:textId="77777777" w:rsidR="00AC2F6D" w:rsidRDefault="00AC2F6D">
      <w:r>
        <w:separator/>
      </w:r>
    </w:p>
  </w:endnote>
  <w:endnote w:type="continuationSeparator" w:id="0">
    <w:p w14:paraId="71086B12" w14:textId="77777777" w:rsidR="00AC2F6D" w:rsidRDefault="00AC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D5850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3A35B" w14:textId="77777777" w:rsidR="00AC2F6D" w:rsidRDefault="00AC2F6D">
      <w:r>
        <w:separator/>
      </w:r>
    </w:p>
  </w:footnote>
  <w:footnote w:type="continuationSeparator" w:id="0">
    <w:p w14:paraId="25B007A3" w14:textId="77777777" w:rsidR="00AC2F6D" w:rsidRDefault="00AC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9E5D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1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93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1CFD"/>
    <w:rsid w:val="0002564D"/>
    <w:rsid w:val="00025ECA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663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3ACA"/>
    <w:rsid w:val="00197DF9"/>
    <w:rsid w:val="001A1987"/>
    <w:rsid w:val="001A2564"/>
    <w:rsid w:val="001A432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4CE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377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6F7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3DF"/>
    <w:rsid w:val="00317A53"/>
    <w:rsid w:val="003203ED"/>
    <w:rsid w:val="00322C9F"/>
    <w:rsid w:val="00324D23"/>
    <w:rsid w:val="00331751"/>
    <w:rsid w:val="00334579"/>
    <w:rsid w:val="00334C25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950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F44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BC2"/>
    <w:rsid w:val="00490DD6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225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3885"/>
    <w:rsid w:val="00636398"/>
    <w:rsid w:val="006368D3"/>
    <w:rsid w:val="006377EC"/>
    <w:rsid w:val="0064151F"/>
    <w:rsid w:val="00641533"/>
    <w:rsid w:val="0064208D"/>
    <w:rsid w:val="00643475"/>
    <w:rsid w:val="0064396A"/>
    <w:rsid w:val="006453D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8A8"/>
    <w:rsid w:val="00695FC2"/>
    <w:rsid w:val="00696949"/>
    <w:rsid w:val="00697052"/>
    <w:rsid w:val="006A04A9"/>
    <w:rsid w:val="006A46FB"/>
    <w:rsid w:val="006A5E28"/>
    <w:rsid w:val="006A697B"/>
    <w:rsid w:val="006A7AFF"/>
    <w:rsid w:val="006B1816"/>
    <w:rsid w:val="006B2099"/>
    <w:rsid w:val="006B50CF"/>
    <w:rsid w:val="006B6A06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CF2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28C"/>
    <w:rsid w:val="00740E58"/>
    <w:rsid w:val="007445A0"/>
    <w:rsid w:val="00744C6C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0B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57A9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5BE"/>
    <w:rsid w:val="0096554B"/>
    <w:rsid w:val="0096584A"/>
    <w:rsid w:val="00971F08"/>
    <w:rsid w:val="0097603D"/>
    <w:rsid w:val="00976622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798"/>
    <w:rsid w:val="009A462D"/>
    <w:rsid w:val="009A5CBA"/>
    <w:rsid w:val="009B1F30"/>
    <w:rsid w:val="009B3AC2"/>
    <w:rsid w:val="009B4DF4"/>
    <w:rsid w:val="009B4FBA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AA0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5FBC"/>
    <w:rsid w:val="00A36297"/>
    <w:rsid w:val="00A41E2B"/>
    <w:rsid w:val="00A45532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258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2F6D"/>
    <w:rsid w:val="00AC3119"/>
    <w:rsid w:val="00AC372A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D88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331"/>
    <w:rsid w:val="00BC0FDC"/>
    <w:rsid w:val="00BC3053"/>
    <w:rsid w:val="00BC4D2E"/>
    <w:rsid w:val="00BD48AC"/>
    <w:rsid w:val="00BD5F1A"/>
    <w:rsid w:val="00BE1234"/>
    <w:rsid w:val="00BE2FA6"/>
    <w:rsid w:val="00BE333F"/>
    <w:rsid w:val="00BE3D19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397B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875"/>
    <w:rsid w:val="00C93C4B"/>
    <w:rsid w:val="00C944AB"/>
    <w:rsid w:val="00C95B40"/>
    <w:rsid w:val="00CA049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6116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5E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BE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F2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085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398"/>
    <w:rsid w:val="00F67F53"/>
    <w:rsid w:val="00F703BE"/>
    <w:rsid w:val="00F71F69"/>
    <w:rsid w:val="00F72B72"/>
    <w:rsid w:val="00F73BCE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6A7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2048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BDF79"/>
  <w15:chartTrackingRefBased/>
  <w15:docId w15:val="{3C7F93F6-8424-414D-9EEA-BB76C8D8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09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C09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C09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C095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C095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C09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C09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C09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C09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C09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C09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C09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C09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C09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C09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C0950"/>
    <w:pPr>
      <w:ind w:left="1418" w:hanging="1418"/>
    </w:pPr>
  </w:style>
  <w:style w:type="paragraph" w:styleId="TOC3">
    <w:name w:val="toc 3"/>
    <w:basedOn w:val="TOC2"/>
    <w:semiHidden/>
    <w:rsid w:val="003C0950"/>
    <w:pPr>
      <w:ind w:left="1134" w:hanging="1134"/>
    </w:pPr>
  </w:style>
  <w:style w:type="paragraph" w:styleId="TOC2">
    <w:name w:val="toc 2"/>
    <w:basedOn w:val="TOC1"/>
    <w:semiHidden/>
    <w:rsid w:val="003C09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C0950"/>
    <w:pPr>
      <w:ind w:left="284"/>
    </w:pPr>
  </w:style>
  <w:style w:type="paragraph" w:styleId="Index1">
    <w:name w:val="index 1"/>
    <w:basedOn w:val="Normal"/>
    <w:semiHidden/>
    <w:rsid w:val="003C0950"/>
    <w:pPr>
      <w:keepLines/>
      <w:spacing w:after="0"/>
    </w:pPr>
  </w:style>
  <w:style w:type="paragraph" w:styleId="DocumentMap">
    <w:name w:val="Document Map"/>
    <w:basedOn w:val="Normal"/>
    <w:semiHidden/>
    <w:rsid w:val="003C09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C0950"/>
    <w:pPr>
      <w:ind w:left="851"/>
    </w:pPr>
  </w:style>
  <w:style w:type="paragraph" w:styleId="ListNumber">
    <w:name w:val="List Number"/>
    <w:basedOn w:val="List"/>
    <w:rsid w:val="003C0950"/>
  </w:style>
  <w:style w:type="paragraph" w:styleId="List">
    <w:name w:val="List"/>
    <w:basedOn w:val="Normal"/>
    <w:rsid w:val="003C0950"/>
    <w:pPr>
      <w:ind w:left="568" w:hanging="284"/>
    </w:pPr>
  </w:style>
  <w:style w:type="paragraph" w:styleId="Header">
    <w:name w:val="header"/>
    <w:rsid w:val="003C09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C09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C09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C095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C0950"/>
    <w:pPr>
      <w:ind w:left="1418" w:hanging="1418"/>
    </w:pPr>
  </w:style>
  <w:style w:type="paragraph" w:styleId="TOC6">
    <w:name w:val="toc 6"/>
    <w:basedOn w:val="TOC5"/>
    <w:next w:val="Normal"/>
    <w:semiHidden/>
    <w:rsid w:val="003C0950"/>
    <w:pPr>
      <w:ind w:left="1985" w:hanging="1985"/>
    </w:pPr>
  </w:style>
  <w:style w:type="paragraph" w:styleId="TOC7">
    <w:name w:val="toc 7"/>
    <w:basedOn w:val="TOC6"/>
    <w:next w:val="Normal"/>
    <w:semiHidden/>
    <w:rsid w:val="003C0950"/>
    <w:pPr>
      <w:ind w:left="2268" w:hanging="2268"/>
    </w:pPr>
  </w:style>
  <w:style w:type="paragraph" w:styleId="ListBullet2">
    <w:name w:val="List Bullet 2"/>
    <w:basedOn w:val="ListBullet"/>
    <w:rsid w:val="003C0950"/>
    <w:pPr>
      <w:numPr>
        <w:numId w:val="6"/>
      </w:numPr>
    </w:pPr>
  </w:style>
  <w:style w:type="paragraph" w:styleId="ListBullet">
    <w:name w:val="List Bullet"/>
    <w:basedOn w:val="BodyText"/>
    <w:rsid w:val="003C0950"/>
    <w:pPr>
      <w:numPr>
        <w:numId w:val="5"/>
      </w:numPr>
    </w:pPr>
  </w:style>
  <w:style w:type="paragraph" w:styleId="ListBullet3">
    <w:name w:val="List Bullet 3"/>
    <w:basedOn w:val="ListBullet2"/>
    <w:rsid w:val="003C0950"/>
    <w:pPr>
      <w:numPr>
        <w:numId w:val="7"/>
      </w:numPr>
    </w:pPr>
  </w:style>
  <w:style w:type="paragraph" w:customStyle="1" w:styleId="EQ">
    <w:name w:val="EQ"/>
    <w:basedOn w:val="Normal"/>
    <w:next w:val="Normal"/>
    <w:rsid w:val="003C09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C0950"/>
    <w:pPr>
      <w:ind w:left="851"/>
    </w:pPr>
  </w:style>
  <w:style w:type="paragraph" w:styleId="List3">
    <w:name w:val="List 3"/>
    <w:basedOn w:val="List2"/>
    <w:rsid w:val="003C0950"/>
    <w:pPr>
      <w:ind w:left="1135"/>
    </w:pPr>
  </w:style>
  <w:style w:type="paragraph" w:styleId="List4">
    <w:name w:val="List 4"/>
    <w:basedOn w:val="List3"/>
    <w:rsid w:val="003C0950"/>
    <w:pPr>
      <w:ind w:left="1418"/>
    </w:pPr>
  </w:style>
  <w:style w:type="paragraph" w:styleId="List5">
    <w:name w:val="List 5"/>
    <w:basedOn w:val="List4"/>
    <w:rsid w:val="003C0950"/>
    <w:pPr>
      <w:ind w:left="1702"/>
    </w:pPr>
  </w:style>
  <w:style w:type="paragraph" w:customStyle="1" w:styleId="EditorsNote">
    <w:name w:val="Editor's Note"/>
    <w:basedOn w:val="Normal"/>
    <w:rsid w:val="003C09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C0950"/>
    <w:pPr>
      <w:numPr>
        <w:numId w:val="8"/>
      </w:numPr>
    </w:pPr>
  </w:style>
  <w:style w:type="paragraph" w:styleId="ListBullet5">
    <w:name w:val="List Bullet 5"/>
    <w:basedOn w:val="ListBullet4"/>
    <w:rsid w:val="003C0950"/>
    <w:pPr>
      <w:numPr>
        <w:numId w:val="4"/>
      </w:numPr>
    </w:pPr>
  </w:style>
  <w:style w:type="paragraph" w:styleId="Footer">
    <w:name w:val="footer"/>
    <w:basedOn w:val="Header"/>
    <w:semiHidden/>
    <w:rsid w:val="003C095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C0950"/>
    <w:pPr>
      <w:numPr>
        <w:numId w:val="2"/>
      </w:numPr>
    </w:pPr>
  </w:style>
  <w:style w:type="paragraph" w:styleId="BalloonText">
    <w:name w:val="Balloon Text"/>
    <w:basedOn w:val="Normal"/>
    <w:semiHidden/>
    <w:rsid w:val="003C09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C0950"/>
  </w:style>
  <w:style w:type="paragraph" w:styleId="BodyText">
    <w:name w:val="Body Text"/>
    <w:basedOn w:val="Normal"/>
    <w:link w:val="BodyTextChar"/>
    <w:rsid w:val="003C0950"/>
  </w:style>
  <w:style w:type="character" w:styleId="Hyperlink">
    <w:name w:val="Hyperlink"/>
    <w:uiPriority w:val="99"/>
    <w:rsid w:val="003C0950"/>
    <w:rPr>
      <w:color w:val="0000FF"/>
      <w:u w:val="single"/>
      <w:lang w:val="en-GB"/>
    </w:rPr>
  </w:style>
  <w:style w:type="character" w:styleId="FollowedHyperlink">
    <w:name w:val="FollowedHyperlink"/>
    <w:semiHidden/>
    <w:rsid w:val="003C0950"/>
    <w:rPr>
      <w:color w:val="FF0000"/>
      <w:u w:val="single"/>
    </w:rPr>
  </w:style>
  <w:style w:type="character" w:styleId="CommentReference">
    <w:name w:val="annotation reference"/>
    <w:semiHidden/>
    <w:rsid w:val="003C0950"/>
    <w:rPr>
      <w:sz w:val="16"/>
      <w:szCs w:val="16"/>
    </w:rPr>
  </w:style>
  <w:style w:type="paragraph" w:styleId="CommentText">
    <w:name w:val="annotation text"/>
    <w:basedOn w:val="Normal"/>
    <w:semiHidden/>
    <w:rsid w:val="003C0950"/>
  </w:style>
  <w:style w:type="paragraph" w:styleId="CommentSubject">
    <w:name w:val="annotation subject"/>
    <w:basedOn w:val="CommentText"/>
    <w:next w:val="CommentText"/>
    <w:semiHidden/>
    <w:rsid w:val="003C0950"/>
    <w:rPr>
      <w:b/>
      <w:bCs/>
    </w:rPr>
  </w:style>
  <w:style w:type="character" w:customStyle="1" w:styleId="Heading1Char">
    <w:name w:val="Heading 1 Char"/>
    <w:link w:val="Heading1"/>
    <w:rsid w:val="003C095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C09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C09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C09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C09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C09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C095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C09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C09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C0950"/>
    <w:pPr>
      <w:spacing w:after="0"/>
    </w:pPr>
  </w:style>
  <w:style w:type="paragraph" w:customStyle="1" w:styleId="TAL">
    <w:name w:val="TAL"/>
    <w:basedOn w:val="Normal"/>
    <w:rsid w:val="003C09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C0950"/>
    <w:pPr>
      <w:jc w:val="center"/>
    </w:pPr>
  </w:style>
  <w:style w:type="paragraph" w:customStyle="1" w:styleId="TAH">
    <w:name w:val="TAH"/>
    <w:basedOn w:val="TAC"/>
    <w:rsid w:val="003C0950"/>
    <w:rPr>
      <w:b/>
    </w:rPr>
  </w:style>
  <w:style w:type="paragraph" w:customStyle="1" w:styleId="TAN">
    <w:name w:val="TAN"/>
    <w:basedOn w:val="TAL"/>
    <w:rsid w:val="003C0950"/>
    <w:pPr>
      <w:ind w:left="851" w:hanging="851"/>
    </w:pPr>
  </w:style>
  <w:style w:type="paragraph" w:customStyle="1" w:styleId="TAR">
    <w:name w:val="TAR"/>
    <w:basedOn w:val="TAL"/>
    <w:rsid w:val="003C0950"/>
    <w:pPr>
      <w:jc w:val="right"/>
    </w:pPr>
  </w:style>
  <w:style w:type="paragraph" w:customStyle="1" w:styleId="TH">
    <w:name w:val="TH"/>
    <w:basedOn w:val="Normal"/>
    <w:rsid w:val="003C09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C09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C09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C09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09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09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C09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C0950"/>
  </w:style>
  <w:style w:type="paragraph" w:customStyle="1" w:styleId="ZH">
    <w:name w:val="ZH"/>
    <w:rsid w:val="003C09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C09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C09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09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0950"/>
    <w:pPr>
      <w:framePr w:wrap="notBeside" w:y="16161"/>
    </w:pPr>
  </w:style>
  <w:style w:type="paragraph" w:customStyle="1" w:styleId="FP">
    <w:name w:val="FP"/>
    <w:basedOn w:val="Normal"/>
    <w:rsid w:val="003C09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C095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C095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C095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C0950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193AC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2_AH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5NUHHDQN7SK2-1476151046-24668</_dlc_DocId>
    <_dlc_DocIdUrl xmlns="f166a696-7b5b-4ccd-9f0c-ffde0cceec81">
      <Url>https://ericsson.sharepoint.com/sites/star/_layouts/15/DocIdRedir.aspx?ID=5NUHHDQN7SK2-1476151046-24668</Url>
      <Description>5NUHHDQN7SK2-1476151046-24668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purl.org/dc/elements/1.1/"/>
    <ds:schemaRef ds:uri="d8762117-8292-4133-b1c7-eab5c6487cfd"/>
    <ds:schemaRef ds:uri="http://schemas.microsoft.com/office/2006/documentManagement/types"/>
    <ds:schemaRef ds:uri="f166a696-7b5b-4ccd-9f0c-ffde0cceec81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21D3685-4A53-4980-BBA8-ED6450EA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7</TotalTime>
  <Pages>2</Pages>
  <Words>396</Words>
  <Characters>2099</Characters>
  <Application>Microsoft Office Word</Application>
  <DocSecurity>0</DocSecurity>
  <Lines>17</Lines>
  <Paragraphs>4</Paragraphs>
  <ScaleCrop>false</ScaleCrop>
  <Company>Ericsson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/>
  <cp:lastModifiedBy>Ericsson</cp:lastModifiedBy>
  <cp:revision>40</cp:revision>
  <cp:lastPrinted>2008-01-31T16:09:00Z</cp:lastPrinted>
  <dcterms:created xsi:type="dcterms:W3CDTF">2018-06-12T12:05:00Z</dcterms:created>
  <dcterms:modified xsi:type="dcterms:W3CDTF">2018-06-21T14:14:00Z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24cc40ca-c5fb-46b6-b870-3202ceb2b71f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